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5D" w:rsidRDefault="00CE645D"/>
    <w:p w:rsidR="00CE645D" w:rsidRPr="00CE645D" w:rsidRDefault="00CE645D" w:rsidP="00CE645D"/>
    <w:p w:rsidR="00CE645D" w:rsidRDefault="00CE645D" w:rsidP="00CE645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APPENDIX B</w:t>
      </w:r>
    </w:p>
    <w:p w:rsidR="00CE645D" w:rsidRDefault="00CE645D" w:rsidP="00CE645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GREAT LAKE CO-ED SOCCER LEAGUE</w:t>
      </w:r>
    </w:p>
    <w:p w:rsidR="00CE645D" w:rsidRDefault="00CE645D" w:rsidP="00CE645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POST-SEASON TOURNAMENT</w:t>
      </w:r>
    </w:p>
    <w:p w:rsidR="00CE645D" w:rsidRDefault="00CE645D" w:rsidP="00CE645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RULES FOR SITES</w:t>
      </w:r>
    </w:p>
    <w:p w:rsidR="00CE645D" w:rsidRDefault="00FA7B3C" w:rsidP="00CE645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Reviewed 1/06/16</w:t>
      </w:r>
    </w:p>
    <w:p w:rsidR="00CE645D" w:rsidRDefault="00CE645D" w:rsidP="00CE64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I. SITE SELECTION. </w:t>
      </w:r>
      <w:r>
        <w:rPr>
          <w:rFonts w:ascii="TimesNewRoman" w:hAnsi="TimesNewRoman" w:cs="TimesNewRoman"/>
          <w:sz w:val="23"/>
          <w:szCs w:val="23"/>
        </w:rPr>
        <w:t>The individual sites for the tournament shall be decided by the Board at a</w:t>
      </w:r>
      <w:r w:rsidR="00B356C5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regular or special meeting. All sites must be approved by a majority of the attending members. In the</w:t>
      </w:r>
      <w:r w:rsidR="00B356C5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event that one of the approved sites subsequently becomes unavailable, the President must be informed</w:t>
      </w:r>
      <w:r w:rsidR="00B356C5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immediately (within 24 hours). The President shall poll the representatives from those clubs</w:t>
      </w:r>
      <w:r w:rsidR="00B356C5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participating in the tournament to determine whether one of them will host the tournament. If none of the</w:t>
      </w:r>
      <w:r w:rsidR="00B356C5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participating clubs are able to host the tournament, then the other non-participating clubs shall be</w:t>
      </w:r>
      <w:r w:rsidR="00B356C5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contacted. In the event that there is no host site three days or less prior to the date when the tournament</w:t>
      </w:r>
      <w:r w:rsidR="00B356C5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was scheduled to begin, the situation shall be declared an emergency and an alternative site may be</w:t>
      </w:r>
      <w:r w:rsidR="00B356C5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selected with the approval of the Board Officers only.</w:t>
      </w:r>
    </w:p>
    <w:p w:rsidR="00CE645D" w:rsidRPr="008D7295" w:rsidRDefault="00CE645D" w:rsidP="00CE64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Clubs may convey their intentions to be a host site by proxy (i.e. via another Board member </w:t>
      </w:r>
      <w:r w:rsidRPr="008D7295">
        <w:rPr>
          <w:rFonts w:ascii="TimesNewRoman" w:hAnsi="TimesNewRoman" w:cs="TimesNewRoman"/>
          <w:sz w:val="23"/>
          <w:szCs w:val="23"/>
        </w:rPr>
        <w:t>or by</w:t>
      </w:r>
      <w:r w:rsidR="00B356C5" w:rsidRPr="008D7295">
        <w:rPr>
          <w:rFonts w:ascii="TimesNewRoman" w:hAnsi="TimesNewRoman" w:cs="TimesNewRoman"/>
          <w:sz w:val="23"/>
          <w:szCs w:val="23"/>
        </w:rPr>
        <w:t xml:space="preserve"> </w:t>
      </w:r>
      <w:r w:rsidRPr="008D7295">
        <w:rPr>
          <w:rFonts w:ascii="TimesNewRoman" w:hAnsi="TimesNewRoman" w:cs="TimesNewRoman"/>
          <w:sz w:val="23"/>
          <w:szCs w:val="23"/>
        </w:rPr>
        <w:t>letter), but club representatives in attendance shall be given preference should two clubs desire to host the</w:t>
      </w:r>
      <w:r w:rsidR="00B356C5" w:rsidRPr="008D7295">
        <w:rPr>
          <w:rFonts w:ascii="TimesNewRoman" w:hAnsi="TimesNewRoman" w:cs="TimesNewRoman"/>
          <w:sz w:val="23"/>
          <w:szCs w:val="23"/>
        </w:rPr>
        <w:t xml:space="preserve"> </w:t>
      </w:r>
      <w:r w:rsidRPr="008D7295">
        <w:rPr>
          <w:rFonts w:ascii="TimesNewRoman" w:hAnsi="TimesNewRoman" w:cs="TimesNewRoman"/>
          <w:sz w:val="23"/>
          <w:szCs w:val="23"/>
        </w:rPr>
        <w:t>same age division. Age divisions with large numbers of t</w:t>
      </w:r>
      <w:r w:rsidR="006E6525" w:rsidRPr="008D7295">
        <w:rPr>
          <w:rFonts w:ascii="TimesNewRoman" w:hAnsi="TimesNewRoman" w:cs="TimesNewRoman"/>
          <w:sz w:val="23"/>
          <w:szCs w:val="23"/>
        </w:rPr>
        <w:t xml:space="preserve">eams </w:t>
      </w:r>
      <w:r w:rsidR="00450088" w:rsidRPr="008D7295">
        <w:rPr>
          <w:rFonts w:ascii="TimesNewRoman" w:hAnsi="TimesNewRoman" w:cs="TimesNewRoman"/>
          <w:sz w:val="23"/>
          <w:szCs w:val="23"/>
        </w:rPr>
        <w:t xml:space="preserve">((&gt;15) or </w:t>
      </w:r>
      <w:r w:rsidR="006E6525" w:rsidRPr="008D7295">
        <w:rPr>
          <w:rFonts w:ascii="TimesNewRoman" w:hAnsi="TimesNewRoman" w:cs="TimesNewRoman"/>
          <w:sz w:val="23"/>
          <w:szCs w:val="23"/>
        </w:rPr>
        <w:t>(&gt;9)</w:t>
      </w:r>
      <w:r w:rsidR="00450088" w:rsidRPr="008D7295">
        <w:rPr>
          <w:rFonts w:ascii="TimesNewRoman" w:hAnsi="TimesNewRoman" w:cs="TimesNewRoman"/>
          <w:sz w:val="23"/>
          <w:szCs w:val="23"/>
        </w:rPr>
        <w:t xml:space="preserve"> depending on format option used)</w:t>
      </w:r>
      <w:r w:rsidR="006E6525" w:rsidRPr="008D7295">
        <w:rPr>
          <w:rFonts w:ascii="TimesNewRoman" w:hAnsi="TimesNewRoman" w:cs="TimesNewRoman"/>
          <w:sz w:val="23"/>
          <w:szCs w:val="23"/>
        </w:rPr>
        <w:t xml:space="preserve"> will</w:t>
      </w:r>
      <w:r w:rsidRPr="008D7295">
        <w:rPr>
          <w:rFonts w:ascii="TimesNewRoman" w:hAnsi="TimesNewRoman" w:cs="TimesNewRoman"/>
          <w:sz w:val="23"/>
          <w:szCs w:val="23"/>
        </w:rPr>
        <w:t xml:space="preserve"> be divided randomly into</w:t>
      </w:r>
      <w:r w:rsidR="00B356C5" w:rsidRPr="008D7295">
        <w:rPr>
          <w:rFonts w:ascii="TimesNewRoman" w:hAnsi="TimesNewRoman" w:cs="TimesNewRoman"/>
          <w:sz w:val="23"/>
          <w:szCs w:val="23"/>
        </w:rPr>
        <w:t xml:space="preserve"> </w:t>
      </w:r>
      <w:r w:rsidR="006E6525" w:rsidRPr="008D7295">
        <w:rPr>
          <w:rFonts w:ascii="TimesNewRoman" w:hAnsi="TimesNewRoman" w:cs="TimesNewRoman"/>
          <w:sz w:val="23"/>
          <w:szCs w:val="23"/>
        </w:rPr>
        <w:t>smaller groups.  Each group will play independently and send 2 teams to the finals.</w:t>
      </w:r>
    </w:p>
    <w:p w:rsidR="00576749" w:rsidRPr="008D7295" w:rsidRDefault="00576749" w:rsidP="00CE64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CE645D" w:rsidRPr="008D7295" w:rsidRDefault="00CE645D" w:rsidP="00CE64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8D7295">
        <w:rPr>
          <w:rFonts w:ascii="TimesNewRoman,Bold" w:hAnsi="TimesNewRoman,Bold" w:cs="TimesNewRoman,Bold"/>
          <w:b/>
          <w:bCs/>
          <w:sz w:val="23"/>
          <w:szCs w:val="23"/>
        </w:rPr>
        <w:t xml:space="preserve">II. SITE REQUIREMENTS. </w:t>
      </w:r>
      <w:r w:rsidRPr="008D7295">
        <w:rPr>
          <w:rFonts w:ascii="TimesNewRoman" w:hAnsi="TimesNewRoman" w:cs="TimesNewRoman"/>
          <w:sz w:val="23"/>
          <w:szCs w:val="23"/>
        </w:rPr>
        <w:t>The general requirements for each site are summarized herein.</w:t>
      </w:r>
    </w:p>
    <w:p w:rsidR="00576749" w:rsidRPr="008D7295" w:rsidRDefault="00576749" w:rsidP="00CE64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CE645D" w:rsidRDefault="00CE645D" w:rsidP="00CE64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8D7295">
        <w:rPr>
          <w:rFonts w:ascii="TimesNewRoman,Bold" w:hAnsi="TimesNewRoman,Bold" w:cs="TimesNewRoman,Bold"/>
          <w:b/>
          <w:bCs/>
          <w:sz w:val="23"/>
          <w:szCs w:val="23"/>
        </w:rPr>
        <w:t xml:space="preserve">A. THE FIELD. </w:t>
      </w:r>
      <w:r w:rsidRPr="008D7295">
        <w:rPr>
          <w:rFonts w:ascii="TimesNewRoman" w:hAnsi="TimesNewRoman" w:cs="TimesNewRoman"/>
          <w:sz w:val="23"/>
          <w:szCs w:val="23"/>
        </w:rPr>
        <w:t xml:space="preserve">The </w:t>
      </w:r>
      <w:r w:rsidRPr="008D7295">
        <w:rPr>
          <w:rFonts w:ascii="TimesNewRoman,Bold" w:hAnsi="TimesNewRoman,Bold" w:cs="TimesNewRoman,Bold"/>
          <w:b/>
          <w:bCs/>
          <w:sz w:val="23"/>
          <w:szCs w:val="23"/>
        </w:rPr>
        <w:t xml:space="preserve">field </w:t>
      </w:r>
      <w:r w:rsidRPr="008D7295">
        <w:rPr>
          <w:rFonts w:ascii="TimesNewRoman" w:hAnsi="TimesNewRoman" w:cs="TimesNewRoman"/>
          <w:sz w:val="23"/>
          <w:szCs w:val="23"/>
        </w:rPr>
        <w:t>shall meet the same requirements as defined for regular season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 w:rsidRPr="008D7295">
        <w:rPr>
          <w:rFonts w:ascii="TimesNewRoman" w:hAnsi="TimesNewRoman" w:cs="TimesNewRoman"/>
          <w:sz w:val="23"/>
          <w:szCs w:val="23"/>
        </w:rPr>
        <w:t>play.</w:t>
      </w:r>
    </w:p>
    <w:p w:rsidR="00CE645D" w:rsidRDefault="00CE645D" w:rsidP="00CE64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All lines shall be clearly marked. All goals shall have nets and must be securely anchored. The</w:t>
      </w:r>
      <w:r w:rsidR="00B356C5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bench areas shall be clearly defined.</w:t>
      </w:r>
    </w:p>
    <w:p w:rsidR="00576749" w:rsidRDefault="00576749" w:rsidP="00CE64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CE645D" w:rsidRDefault="00CE645D" w:rsidP="00CE64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B. SITE DIRECTOR. </w:t>
      </w:r>
      <w:r>
        <w:rPr>
          <w:rFonts w:ascii="TimesNewRoman" w:hAnsi="TimesNewRoman" w:cs="TimesNewRoman"/>
          <w:sz w:val="23"/>
          <w:szCs w:val="23"/>
        </w:rPr>
        <w:t xml:space="preserve">A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site director </w:t>
      </w:r>
      <w:r>
        <w:rPr>
          <w:rFonts w:ascii="TimesNewRoman" w:hAnsi="TimesNewRoman" w:cs="TimesNewRoman"/>
          <w:sz w:val="23"/>
          <w:szCs w:val="23"/>
        </w:rPr>
        <w:t>shall be present at all matches played at each</w:t>
      </w:r>
      <w:r w:rsidR="00B356C5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 xml:space="preserve">tournament site. The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site director </w:t>
      </w:r>
      <w:r>
        <w:rPr>
          <w:rFonts w:ascii="TimesNewRoman" w:hAnsi="TimesNewRoman" w:cs="TimesNewRoman"/>
          <w:sz w:val="23"/>
          <w:szCs w:val="23"/>
        </w:rPr>
        <w:t>is responsible for insuring that all games are played according</w:t>
      </w:r>
      <w:r w:rsidR="00B356C5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to the rules and format of the tournament and that the games adhere to the schedule. The duration</w:t>
      </w:r>
      <w:r w:rsidR="00B356C5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 xml:space="preserve">of the games shall not be altered, but halftimes may be shortened if necessary. The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site director</w:t>
      </w:r>
      <w:r w:rsidR="00B356C5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is responsible for having a contingency plan in case of an injury or other medical emergency.</w:t>
      </w:r>
    </w:p>
    <w:p w:rsidR="00576749" w:rsidRDefault="00CE645D" w:rsidP="005767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The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site director </w:t>
      </w:r>
      <w:r>
        <w:rPr>
          <w:rFonts w:ascii="TimesNewRoman" w:hAnsi="TimesNewRoman" w:cs="TimesNewRoman"/>
          <w:sz w:val="23"/>
          <w:szCs w:val="23"/>
        </w:rPr>
        <w:t>shall confirm with the referee the score of each preliminary game and these</w:t>
      </w:r>
      <w:r w:rsidR="00B356C5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 xml:space="preserve">scores shall be recorded on the site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tally board </w:t>
      </w:r>
      <w:r>
        <w:rPr>
          <w:rFonts w:ascii="TimesNewRoman" w:hAnsi="TimesNewRoman" w:cs="TimesNewRoman"/>
          <w:sz w:val="23"/>
          <w:szCs w:val="23"/>
        </w:rPr>
        <w:t xml:space="preserve">(see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II.C. </w:t>
      </w:r>
      <w:r>
        <w:rPr>
          <w:rFonts w:ascii="TimesNewRoman" w:hAnsi="TimesNewRoman" w:cs="TimesNewRoman"/>
          <w:sz w:val="23"/>
          <w:szCs w:val="23"/>
        </w:rPr>
        <w:t>below).</w:t>
      </w:r>
    </w:p>
    <w:p w:rsidR="00576749" w:rsidRDefault="00576749" w:rsidP="005767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CE645D" w:rsidRPr="00576749" w:rsidRDefault="00CE645D" w:rsidP="0057674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C. TALLY BOARD. </w:t>
      </w:r>
      <w:r>
        <w:rPr>
          <w:rFonts w:ascii="TimesNewRoman" w:hAnsi="TimesNewRoman" w:cs="TimesNewRoman"/>
          <w:sz w:val="23"/>
          <w:szCs w:val="23"/>
        </w:rPr>
        <w:t xml:space="preserve">A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tally board </w:t>
      </w:r>
      <w:r>
        <w:rPr>
          <w:rFonts w:ascii="TimesNewRoman" w:hAnsi="TimesNewRoman" w:cs="TimesNewRoman"/>
          <w:sz w:val="23"/>
          <w:szCs w:val="23"/>
        </w:rPr>
        <w:t xml:space="preserve">shall be posted at each tournament site. The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tally board</w:t>
      </w:r>
      <w:r w:rsidR="00B356C5"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shall be made of poster board or other suitable material and the information shall be as current as</w:t>
      </w:r>
      <w:r w:rsidR="00B356C5"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is practical and shall be visible from a distance of at least 10 feet. Standard or legal size paper</w:t>
      </w:r>
      <w:r w:rsidR="00B356C5"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 xml:space="preserve">shall not be used. The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tally board </w:t>
      </w:r>
      <w:r>
        <w:rPr>
          <w:rFonts w:ascii="TimesNewRoman" w:hAnsi="TimesNewRoman" w:cs="TimesNewRoman"/>
          <w:sz w:val="23"/>
          <w:szCs w:val="23"/>
        </w:rPr>
        <w:t>shall be formatted as shown in the following example:</w:t>
      </w:r>
    </w:p>
    <w:p w:rsidR="00CE645D" w:rsidRDefault="00CE645D" w:rsidP="00CE645D"/>
    <w:p w:rsidR="00DF3361" w:rsidRDefault="00DF3361" w:rsidP="00CE645D"/>
    <w:p w:rsidR="00450088" w:rsidRDefault="00450088" w:rsidP="00CE645D"/>
    <w:p w:rsidR="00450088" w:rsidRDefault="00450088" w:rsidP="00CE645D"/>
    <w:p w:rsidR="00450088" w:rsidRPr="008D7295" w:rsidRDefault="00576749" w:rsidP="00576749">
      <w:pPr>
        <w:jc w:val="center"/>
      </w:pPr>
      <w:r w:rsidRPr="008D7295">
        <w:t>Tally Board</w:t>
      </w:r>
    </w:p>
    <w:p w:rsidR="00450088" w:rsidRPr="008D7295" w:rsidRDefault="00450088" w:rsidP="00CE645D"/>
    <w:tbl>
      <w:tblPr>
        <w:tblStyle w:val="TableGrid"/>
        <w:tblW w:w="0" w:type="auto"/>
        <w:tblLook w:val="04A0"/>
      </w:tblPr>
      <w:tblGrid>
        <w:gridCol w:w="1198"/>
        <w:gridCol w:w="1207"/>
        <w:gridCol w:w="1207"/>
        <w:gridCol w:w="1207"/>
        <w:gridCol w:w="1245"/>
        <w:gridCol w:w="1214"/>
        <w:gridCol w:w="1214"/>
        <w:gridCol w:w="1084"/>
      </w:tblGrid>
      <w:tr w:rsidR="00011102" w:rsidRPr="008D7295" w:rsidTr="00011102">
        <w:tc>
          <w:tcPr>
            <w:tcW w:w="1201" w:type="dxa"/>
            <w:vAlign w:val="center"/>
          </w:tcPr>
          <w:p w:rsidR="00011102" w:rsidRPr="008D7295" w:rsidRDefault="00011102" w:rsidP="00011102">
            <w:pPr>
              <w:jc w:val="center"/>
            </w:pPr>
          </w:p>
        </w:tc>
        <w:tc>
          <w:tcPr>
            <w:tcW w:w="1209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Game 1</w:t>
            </w:r>
          </w:p>
        </w:tc>
        <w:tc>
          <w:tcPr>
            <w:tcW w:w="1208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Game 2</w:t>
            </w:r>
          </w:p>
        </w:tc>
        <w:tc>
          <w:tcPr>
            <w:tcW w:w="1208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Game 3</w:t>
            </w:r>
          </w:p>
        </w:tc>
        <w:tc>
          <w:tcPr>
            <w:tcW w:w="1246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Game 4 if needed</w:t>
            </w:r>
          </w:p>
        </w:tc>
        <w:tc>
          <w:tcPr>
            <w:tcW w:w="1215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Points</w:t>
            </w:r>
          </w:p>
        </w:tc>
        <w:tc>
          <w:tcPr>
            <w:tcW w:w="1215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Bonus Points</w:t>
            </w:r>
          </w:p>
        </w:tc>
        <w:tc>
          <w:tcPr>
            <w:tcW w:w="1074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Final Standings</w:t>
            </w:r>
          </w:p>
        </w:tc>
      </w:tr>
      <w:tr w:rsidR="00011102" w:rsidRPr="008D7295" w:rsidTr="00011102">
        <w:tc>
          <w:tcPr>
            <w:tcW w:w="1201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Team A</w:t>
            </w:r>
          </w:p>
        </w:tc>
        <w:tc>
          <w:tcPr>
            <w:tcW w:w="1209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v B</w:t>
            </w:r>
          </w:p>
          <w:p w:rsidR="00011102" w:rsidRPr="008D7295" w:rsidRDefault="00011102" w:rsidP="00011102">
            <w:pPr>
              <w:jc w:val="center"/>
            </w:pPr>
            <w:r w:rsidRPr="008D7295">
              <w:t>3-3</w:t>
            </w:r>
          </w:p>
        </w:tc>
        <w:tc>
          <w:tcPr>
            <w:tcW w:w="1208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v C</w:t>
            </w:r>
          </w:p>
          <w:p w:rsidR="00011102" w:rsidRPr="008D7295" w:rsidRDefault="00011102" w:rsidP="00011102">
            <w:pPr>
              <w:jc w:val="center"/>
            </w:pPr>
            <w:r w:rsidRPr="008D7295">
              <w:t>0-4</w:t>
            </w:r>
          </w:p>
        </w:tc>
        <w:tc>
          <w:tcPr>
            <w:tcW w:w="1208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v D</w:t>
            </w:r>
          </w:p>
          <w:p w:rsidR="00011102" w:rsidRPr="008D7295" w:rsidRDefault="00011102" w:rsidP="00011102">
            <w:pPr>
              <w:jc w:val="center"/>
            </w:pPr>
            <w:r w:rsidRPr="008D7295">
              <w:t>5-4</w:t>
            </w:r>
          </w:p>
        </w:tc>
        <w:tc>
          <w:tcPr>
            <w:tcW w:w="1246" w:type="dxa"/>
            <w:vAlign w:val="center"/>
          </w:tcPr>
          <w:p w:rsidR="00011102" w:rsidRPr="008D7295" w:rsidRDefault="00011102" w:rsidP="00011102">
            <w:pPr>
              <w:jc w:val="center"/>
            </w:pPr>
          </w:p>
        </w:tc>
        <w:tc>
          <w:tcPr>
            <w:tcW w:w="1215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3</w:t>
            </w:r>
          </w:p>
        </w:tc>
        <w:tc>
          <w:tcPr>
            <w:tcW w:w="1215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0</w:t>
            </w:r>
          </w:p>
        </w:tc>
        <w:tc>
          <w:tcPr>
            <w:tcW w:w="1074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2</w:t>
            </w:r>
          </w:p>
        </w:tc>
      </w:tr>
      <w:tr w:rsidR="00011102" w:rsidRPr="008D7295" w:rsidTr="00011102">
        <w:tc>
          <w:tcPr>
            <w:tcW w:w="1201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Team B</w:t>
            </w:r>
          </w:p>
        </w:tc>
        <w:tc>
          <w:tcPr>
            <w:tcW w:w="1209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v A</w:t>
            </w:r>
          </w:p>
          <w:p w:rsidR="00011102" w:rsidRPr="008D7295" w:rsidRDefault="00011102" w:rsidP="00011102">
            <w:pPr>
              <w:jc w:val="center"/>
            </w:pPr>
            <w:r w:rsidRPr="008D7295">
              <w:t>3-3</w:t>
            </w:r>
          </w:p>
        </w:tc>
        <w:tc>
          <w:tcPr>
            <w:tcW w:w="1208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v D</w:t>
            </w:r>
          </w:p>
          <w:p w:rsidR="00011102" w:rsidRPr="008D7295" w:rsidRDefault="00011102" w:rsidP="00011102">
            <w:pPr>
              <w:jc w:val="center"/>
            </w:pPr>
            <w:r w:rsidRPr="008D7295">
              <w:t>1-2</w:t>
            </w:r>
          </w:p>
        </w:tc>
        <w:tc>
          <w:tcPr>
            <w:tcW w:w="1208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v C</w:t>
            </w:r>
          </w:p>
          <w:p w:rsidR="00011102" w:rsidRPr="008D7295" w:rsidRDefault="00011102" w:rsidP="00011102">
            <w:pPr>
              <w:jc w:val="center"/>
            </w:pPr>
            <w:r w:rsidRPr="008D7295">
              <w:t>0-6</w:t>
            </w:r>
          </w:p>
        </w:tc>
        <w:tc>
          <w:tcPr>
            <w:tcW w:w="1246" w:type="dxa"/>
            <w:vAlign w:val="center"/>
          </w:tcPr>
          <w:p w:rsidR="00011102" w:rsidRPr="008D7295" w:rsidRDefault="00011102" w:rsidP="00011102">
            <w:pPr>
              <w:jc w:val="center"/>
            </w:pPr>
          </w:p>
        </w:tc>
        <w:tc>
          <w:tcPr>
            <w:tcW w:w="1215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1</w:t>
            </w:r>
          </w:p>
        </w:tc>
        <w:tc>
          <w:tcPr>
            <w:tcW w:w="1215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0</w:t>
            </w:r>
          </w:p>
        </w:tc>
        <w:tc>
          <w:tcPr>
            <w:tcW w:w="1074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4</w:t>
            </w:r>
          </w:p>
        </w:tc>
      </w:tr>
      <w:tr w:rsidR="00011102" w:rsidRPr="008D7295" w:rsidTr="00011102">
        <w:tc>
          <w:tcPr>
            <w:tcW w:w="1201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Team C</w:t>
            </w:r>
          </w:p>
        </w:tc>
        <w:tc>
          <w:tcPr>
            <w:tcW w:w="1209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v D</w:t>
            </w:r>
          </w:p>
          <w:p w:rsidR="00011102" w:rsidRPr="008D7295" w:rsidRDefault="00011102" w:rsidP="00011102">
            <w:pPr>
              <w:jc w:val="center"/>
            </w:pPr>
            <w:r w:rsidRPr="008D7295">
              <w:t>3-0</w:t>
            </w:r>
          </w:p>
        </w:tc>
        <w:tc>
          <w:tcPr>
            <w:tcW w:w="1208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v A</w:t>
            </w:r>
          </w:p>
          <w:p w:rsidR="00011102" w:rsidRPr="008D7295" w:rsidRDefault="00011102" w:rsidP="00011102">
            <w:pPr>
              <w:jc w:val="center"/>
            </w:pPr>
            <w:r w:rsidRPr="008D7295">
              <w:t>4-0</w:t>
            </w:r>
          </w:p>
        </w:tc>
        <w:tc>
          <w:tcPr>
            <w:tcW w:w="1208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v B</w:t>
            </w:r>
          </w:p>
          <w:p w:rsidR="00011102" w:rsidRPr="008D7295" w:rsidRDefault="00011102" w:rsidP="00011102">
            <w:pPr>
              <w:jc w:val="center"/>
            </w:pPr>
            <w:r w:rsidRPr="008D7295">
              <w:t>6-0</w:t>
            </w:r>
          </w:p>
        </w:tc>
        <w:tc>
          <w:tcPr>
            <w:tcW w:w="1246" w:type="dxa"/>
            <w:vAlign w:val="center"/>
          </w:tcPr>
          <w:p w:rsidR="00011102" w:rsidRPr="008D7295" w:rsidRDefault="00011102" w:rsidP="00011102">
            <w:pPr>
              <w:jc w:val="center"/>
            </w:pPr>
          </w:p>
        </w:tc>
        <w:tc>
          <w:tcPr>
            <w:tcW w:w="1215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6</w:t>
            </w:r>
          </w:p>
        </w:tc>
        <w:tc>
          <w:tcPr>
            <w:tcW w:w="1215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9</w:t>
            </w:r>
          </w:p>
        </w:tc>
        <w:tc>
          <w:tcPr>
            <w:tcW w:w="1074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1</w:t>
            </w:r>
          </w:p>
        </w:tc>
      </w:tr>
      <w:tr w:rsidR="00011102" w:rsidRPr="008D7295" w:rsidTr="00011102">
        <w:tc>
          <w:tcPr>
            <w:tcW w:w="1201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Team D</w:t>
            </w:r>
          </w:p>
        </w:tc>
        <w:tc>
          <w:tcPr>
            <w:tcW w:w="1209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v C</w:t>
            </w:r>
          </w:p>
          <w:p w:rsidR="00011102" w:rsidRPr="008D7295" w:rsidRDefault="00011102" w:rsidP="00011102">
            <w:pPr>
              <w:jc w:val="center"/>
            </w:pPr>
            <w:r w:rsidRPr="008D7295">
              <w:t>0 - 3</w:t>
            </w:r>
          </w:p>
        </w:tc>
        <w:tc>
          <w:tcPr>
            <w:tcW w:w="1208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v B</w:t>
            </w:r>
          </w:p>
          <w:p w:rsidR="00011102" w:rsidRPr="008D7295" w:rsidRDefault="00011102" w:rsidP="00011102">
            <w:pPr>
              <w:jc w:val="center"/>
            </w:pPr>
            <w:r w:rsidRPr="008D7295">
              <w:t>2-1</w:t>
            </w:r>
          </w:p>
        </w:tc>
        <w:tc>
          <w:tcPr>
            <w:tcW w:w="1208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v A</w:t>
            </w:r>
          </w:p>
          <w:p w:rsidR="00011102" w:rsidRPr="008D7295" w:rsidRDefault="00011102" w:rsidP="00011102">
            <w:pPr>
              <w:jc w:val="center"/>
            </w:pPr>
            <w:r w:rsidRPr="008D7295">
              <w:t>4-5</w:t>
            </w:r>
          </w:p>
        </w:tc>
        <w:tc>
          <w:tcPr>
            <w:tcW w:w="1246" w:type="dxa"/>
            <w:vAlign w:val="center"/>
          </w:tcPr>
          <w:p w:rsidR="00011102" w:rsidRPr="008D7295" w:rsidRDefault="00011102" w:rsidP="00011102">
            <w:pPr>
              <w:jc w:val="center"/>
            </w:pPr>
          </w:p>
        </w:tc>
        <w:tc>
          <w:tcPr>
            <w:tcW w:w="1215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2</w:t>
            </w:r>
          </w:p>
        </w:tc>
        <w:tc>
          <w:tcPr>
            <w:tcW w:w="1215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1</w:t>
            </w:r>
          </w:p>
        </w:tc>
        <w:tc>
          <w:tcPr>
            <w:tcW w:w="1074" w:type="dxa"/>
            <w:vAlign w:val="center"/>
          </w:tcPr>
          <w:p w:rsidR="00011102" w:rsidRPr="008D7295" w:rsidRDefault="00011102" w:rsidP="00011102">
            <w:pPr>
              <w:jc w:val="center"/>
            </w:pPr>
            <w:r w:rsidRPr="008D7295">
              <w:t>3</w:t>
            </w:r>
          </w:p>
        </w:tc>
      </w:tr>
    </w:tbl>
    <w:p w:rsidR="00450088" w:rsidRPr="008D7295" w:rsidRDefault="00450088" w:rsidP="00CE645D"/>
    <w:p w:rsidR="00576749" w:rsidRPr="008D7295" w:rsidRDefault="00576749" w:rsidP="00CE645D"/>
    <w:p w:rsidR="00576749" w:rsidRDefault="00576749" w:rsidP="005767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8D7295">
        <w:rPr>
          <w:rFonts w:ascii="TimesNewRoman,Bold" w:hAnsi="TimesNewRoman,Bold" w:cs="TimesNewRoman,Bold"/>
          <w:b/>
          <w:bCs/>
          <w:sz w:val="23"/>
          <w:szCs w:val="23"/>
        </w:rPr>
        <w:t xml:space="preserve">E. SPECTATORS. </w:t>
      </w:r>
      <w:r w:rsidRPr="008D7295">
        <w:rPr>
          <w:rFonts w:ascii="TimesNewRoman" w:hAnsi="TimesNewRoman" w:cs="TimesNewRoman"/>
          <w:sz w:val="23"/>
          <w:szCs w:val="23"/>
        </w:rPr>
        <w:t>Spectators shall not be permitted within 3 yards of a touchline during play.</w:t>
      </w:r>
    </w:p>
    <w:p w:rsidR="00576749" w:rsidRDefault="00576749" w:rsidP="005767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Also, spectators shall not be permitted to view any game from behind either goal unless they are seated in permanent stadium seating. The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site director</w:t>
      </w:r>
      <w:r>
        <w:rPr>
          <w:rFonts w:ascii="TimesNewRoman" w:hAnsi="TimesNewRoman" w:cs="TimesNewRoman"/>
          <w:sz w:val="23"/>
          <w:szCs w:val="23"/>
        </w:rPr>
        <w:t xml:space="preserve">, in concert with the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referee</w:t>
      </w:r>
      <w:r>
        <w:rPr>
          <w:rFonts w:ascii="TimesNewRoman" w:hAnsi="TimesNewRoman" w:cs="TimesNewRoman"/>
          <w:sz w:val="23"/>
          <w:szCs w:val="23"/>
        </w:rPr>
        <w:t>, is responsible for insuring that spectators are appropriately situated.</w:t>
      </w:r>
    </w:p>
    <w:p w:rsidR="00576749" w:rsidRDefault="00576749" w:rsidP="005767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76749" w:rsidRDefault="00576749" w:rsidP="005767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Note: </w:t>
      </w:r>
      <w:r>
        <w:rPr>
          <w:rFonts w:ascii="TimesNewRoman" w:hAnsi="TimesNewRoman" w:cs="TimesNewRoman"/>
          <w:sz w:val="23"/>
          <w:szCs w:val="23"/>
        </w:rPr>
        <w:t>Coaches are responsible for the behavior of their fans.</w:t>
      </w:r>
    </w:p>
    <w:p w:rsidR="00576749" w:rsidRDefault="00576749" w:rsidP="005767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76749" w:rsidRDefault="00576749" w:rsidP="005767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Note: </w:t>
      </w:r>
      <w:r>
        <w:rPr>
          <w:rFonts w:ascii="TimesNewRoman" w:hAnsi="TimesNewRoman" w:cs="TimesNewRoman"/>
          <w:sz w:val="23"/>
          <w:szCs w:val="23"/>
        </w:rPr>
        <w:t xml:space="preserve">Unruly or otherwise </w:t>
      </w:r>
      <w:proofErr w:type="spellStart"/>
      <w:r>
        <w:rPr>
          <w:rFonts w:ascii="TimesNewRoman" w:hAnsi="TimesNewRoman" w:cs="TimesNewRoman"/>
          <w:sz w:val="23"/>
          <w:szCs w:val="23"/>
        </w:rPr>
        <w:t>inappropropriate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behavior by a team's spectators may result in the disqualification of that team from further tournament play by either the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site director,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tournament director </w:t>
      </w:r>
      <w:r>
        <w:rPr>
          <w:rFonts w:ascii="TimesNewRoman" w:hAnsi="TimesNewRoman" w:cs="TimesNewRoman"/>
          <w:sz w:val="23"/>
          <w:szCs w:val="23"/>
        </w:rPr>
        <w:t xml:space="preserve">or the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League President</w:t>
      </w:r>
      <w:r>
        <w:rPr>
          <w:rFonts w:ascii="TimesNewRoman" w:hAnsi="TimesNewRoman" w:cs="TimesNewRoman"/>
          <w:sz w:val="23"/>
          <w:szCs w:val="23"/>
        </w:rPr>
        <w:t>.</w:t>
      </w:r>
    </w:p>
    <w:p w:rsidR="00576749" w:rsidRDefault="00576749" w:rsidP="005767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576749" w:rsidRDefault="00576749" w:rsidP="00576749"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F. RESTROOMS. </w:t>
      </w:r>
      <w:r>
        <w:rPr>
          <w:rFonts w:ascii="TimesNewRoman" w:hAnsi="TimesNewRoman" w:cs="TimesNewRoman"/>
          <w:sz w:val="23"/>
          <w:szCs w:val="23"/>
        </w:rPr>
        <w:t xml:space="preserve">Each tournament site shall have a permanent or portable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restroom</w:t>
      </w:r>
    </w:p>
    <w:p w:rsidR="00576749" w:rsidRPr="00CE645D" w:rsidRDefault="00576749" w:rsidP="00CE645D"/>
    <w:sectPr w:rsidR="00576749" w:rsidRPr="00CE645D" w:rsidSect="00DF3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E645D"/>
    <w:rsid w:val="00011102"/>
    <w:rsid w:val="00450088"/>
    <w:rsid w:val="005377BE"/>
    <w:rsid w:val="00576749"/>
    <w:rsid w:val="006250F7"/>
    <w:rsid w:val="006E6525"/>
    <w:rsid w:val="008D7295"/>
    <w:rsid w:val="00B356C5"/>
    <w:rsid w:val="00BD0F8D"/>
    <w:rsid w:val="00CE645D"/>
    <w:rsid w:val="00DF3361"/>
    <w:rsid w:val="00FA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88FE8-141D-42A7-AB47-32717B7F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 NOTEBOOK</dc:creator>
  <cp:lastModifiedBy>PRIM NOTEBOOK</cp:lastModifiedBy>
  <cp:revision>10</cp:revision>
  <dcterms:created xsi:type="dcterms:W3CDTF">2015-11-23T03:55:00Z</dcterms:created>
  <dcterms:modified xsi:type="dcterms:W3CDTF">2016-01-29T00:45:00Z</dcterms:modified>
</cp:coreProperties>
</file>